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4296" w:rsidRPr="00FF4296" w:rsidRDefault="006C3A58" w:rsidP="00FF4296">
      <w:pPr>
        <w:keepNext/>
        <w:keepLines/>
        <w:spacing w:before="200" w:after="0" w:line="276" w:lineRule="auto"/>
        <w:jc w:val="center"/>
        <w:outlineLvl w:val="1"/>
        <w:rPr>
          <w:rFonts w:ascii="Calibri" w:eastAsia="Times New Roman" w:hAnsi="Calibri" w:cs="Times New Roman"/>
          <w:b/>
          <w:bCs/>
          <w:color w:val="7DB713"/>
          <w:sz w:val="26"/>
          <w:szCs w:val="26"/>
        </w:rPr>
      </w:pPr>
      <w:r w:rsidRPr="006C3A58">
        <w:rPr>
          <w:rFonts w:cstheme="minorHAnsi"/>
          <w:color w:val="4F81BD" w:themeColor="accent1"/>
          <w:sz w:val="44"/>
          <w:szCs w:val="44"/>
        </w:rPr>
        <w:t>π</w:t>
      </w:r>
      <w:proofErr w:type="spellStart"/>
      <w:r w:rsidR="00584C59">
        <w:rPr>
          <w:rFonts w:ascii="Calibri" w:eastAsia="Times New Roman" w:hAnsi="Calibri" w:cs="Times New Roman"/>
          <w:b/>
          <w:bCs/>
          <w:color w:val="4F81BD" w:themeColor="accent1"/>
          <w:sz w:val="32"/>
          <w:szCs w:val="26"/>
        </w:rPr>
        <w:t>rania</w:t>
      </w:r>
      <w:proofErr w:type="spellEnd"/>
      <w:r w:rsidR="00FF4296" w:rsidRPr="00FF4296">
        <w:rPr>
          <w:rFonts w:ascii="Calibri" w:eastAsia="Times New Roman" w:hAnsi="Calibri" w:cs="Times New Roman"/>
          <w:b/>
          <w:bCs/>
          <w:color w:val="4F81BD" w:themeColor="accent1"/>
          <w:sz w:val="32"/>
          <w:szCs w:val="26"/>
        </w:rPr>
        <w:t xml:space="preserve"> </w:t>
      </w:r>
      <w:r w:rsidR="00584C59">
        <w:rPr>
          <w:rFonts w:ascii="Calibri" w:eastAsia="Times New Roman" w:hAnsi="Calibri" w:cs="Times New Roman"/>
          <w:b/>
          <w:bCs/>
          <w:color w:val="4F81BD" w:themeColor="accent1"/>
          <w:sz w:val="26"/>
          <w:szCs w:val="26"/>
        </w:rPr>
        <w:t>–</w:t>
      </w:r>
      <w:r w:rsidR="00FF4296" w:rsidRPr="00FF4296">
        <w:rPr>
          <w:rFonts w:ascii="Calibri" w:eastAsia="Times New Roman" w:hAnsi="Calibri" w:cs="Times New Roman"/>
          <w:b/>
          <w:bCs/>
          <w:color w:val="4F81BD" w:themeColor="accent1"/>
          <w:sz w:val="26"/>
          <w:szCs w:val="26"/>
        </w:rPr>
        <w:t xml:space="preserve"> </w:t>
      </w:r>
      <w:r w:rsidR="00584C59">
        <w:rPr>
          <w:rFonts w:ascii="Calibri" w:eastAsia="Times New Roman" w:hAnsi="Calibri" w:cs="Times New Roman"/>
          <w:b/>
          <w:bCs/>
          <w:color w:val="4F81BD" w:themeColor="accent1"/>
          <w:sz w:val="26"/>
          <w:szCs w:val="26"/>
        </w:rPr>
        <w:t>System do skutecznego zarządzania ryzykiem należności</w:t>
      </w:r>
    </w:p>
    <w:p w:rsidR="00584C59" w:rsidRDefault="00584C59" w:rsidP="00584C59">
      <w:pPr>
        <w:spacing w:after="0"/>
        <w:jc w:val="both"/>
        <w:rPr>
          <w:rFonts w:cstheme="minorHAnsi"/>
          <w:sz w:val="20"/>
          <w:szCs w:val="20"/>
        </w:rPr>
      </w:pPr>
      <w:r w:rsidRPr="00584C59">
        <w:rPr>
          <w:rFonts w:cstheme="minorHAnsi"/>
          <w:sz w:val="20"/>
          <w:szCs w:val="20"/>
        </w:rPr>
        <w:t xml:space="preserve">Stworzony i rozwijany przez </w:t>
      </w:r>
      <w:r>
        <w:rPr>
          <w:rFonts w:cstheme="minorHAnsi"/>
          <w:sz w:val="20"/>
          <w:szCs w:val="20"/>
        </w:rPr>
        <w:t>nas</w:t>
      </w:r>
      <w:r w:rsidRPr="00584C59">
        <w:rPr>
          <w:rFonts w:cstheme="minorHAnsi"/>
          <w:sz w:val="20"/>
          <w:szCs w:val="20"/>
        </w:rPr>
        <w:t xml:space="preserve"> system do skutecznego zarządzania ryz</w:t>
      </w:r>
      <w:r w:rsidR="00641E8C">
        <w:rPr>
          <w:rFonts w:cstheme="minorHAnsi"/>
          <w:sz w:val="20"/>
          <w:szCs w:val="20"/>
        </w:rPr>
        <w:t>y</w:t>
      </w:r>
      <w:r w:rsidRPr="00584C59">
        <w:rPr>
          <w:rFonts w:cstheme="minorHAnsi"/>
          <w:sz w:val="20"/>
          <w:szCs w:val="20"/>
        </w:rPr>
        <w:t>kiem należności jest informatycznym rozwiązaniem unikalnym w skali światowej, co zawdzięcza swojej innowacyjności, kompletności, elastyczności oraz wykorzystaniu tzw. algorytmów samouczących się.</w:t>
      </w:r>
      <w:bookmarkStart w:id="0" w:name="_GoBack"/>
      <w:bookmarkEnd w:id="0"/>
    </w:p>
    <w:p w:rsidR="003E61F4" w:rsidRPr="003E61F4" w:rsidRDefault="003E61F4" w:rsidP="00584C59">
      <w:pPr>
        <w:spacing w:after="0"/>
        <w:jc w:val="both"/>
        <w:rPr>
          <w:rFonts w:cstheme="minorHAnsi"/>
          <w:sz w:val="20"/>
          <w:szCs w:val="20"/>
        </w:rPr>
      </w:pPr>
      <w:r w:rsidRPr="003E61F4">
        <w:rPr>
          <w:rFonts w:cstheme="minorHAnsi"/>
          <w:sz w:val="20"/>
          <w:szCs w:val="20"/>
        </w:rPr>
        <w:t>Nasz system nie ogranicza się wybiórcz</w:t>
      </w:r>
      <w:r>
        <w:rPr>
          <w:rFonts w:cstheme="minorHAnsi"/>
          <w:sz w:val="20"/>
          <w:szCs w:val="20"/>
        </w:rPr>
        <w:t xml:space="preserve">o tylko do pewnych fragmentów procesu </w:t>
      </w:r>
      <w:r w:rsidRPr="003E61F4">
        <w:rPr>
          <w:rFonts w:cstheme="minorHAnsi"/>
          <w:sz w:val="20"/>
          <w:szCs w:val="20"/>
        </w:rPr>
        <w:t>zarządzania należnościami, a</w:t>
      </w:r>
      <w:r>
        <w:rPr>
          <w:rFonts w:cstheme="minorHAnsi"/>
          <w:sz w:val="20"/>
          <w:szCs w:val="20"/>
        </w:rPr>
        <w:t>le</w:t>
      </w:r>
      <w:r w:rsidRPr="003E61F4">
        <w:rPr>
          <w:rFonts w:cstheme="minorHAnsi"/>
          <w:sz w:val="20"/>
          <w:szCs w:val="20"/>
        </w:rPr>
        <w:t xml:space="preserve"> podchodzi do sprawy kompleksowo, dzięki czemu zapewnia jednorodność i całkowitą zgodność rozwiązań, mechanizmów i baz danych</w:t>
      </w:r>
      <w:r>
        <w:rPr>
          <w:rFonts w:cstheme="minorHAnsi"/>
          <w:sz w:val="20"/>
          <w:szCs w:val="20"/>
        </w:rPr>
        <w:t>. Pozwala to</w:t>
      </w:r>
      <w:r w:rsidRPr="003E61F4">
        <w:rPr>
          <w:rFonts w:cstheme="minorHAnsi"/>
          <w:sz w:val="20"/>
          <w:szCs w:val="20"/>
        </w:rPr>
        <w:t xml:space="preserve"> na minimalizację </w:t>
      </w:r>
      <w:r>
        <w:rPr>
          <w:rFonts w:cstheme="minorHAnsi"/>
          <w:sz w:val="20"/>
          <w:szCs w:val="20"/>
        </w:rPr>
        <w:t xml:space="preserve">kosztów, a co więcej system, </w:t>
      </w:r>
      <w:r w:rsidRPr="003E61F4">
        <w:rPr>
          <w:rFonts w:cstheme="minorHAnsi"/>
          <w:sz w:val="20"/>
          <w:szCs w:val="20"/>
        </w:rPr>
        <w:t>w miarę jego wykorzystywania, samoczynnie dostosowuje się specyfiki Klienta.</w:t>
      </w:r>
    </w:p>
    <w:p w:rsidR="00FF4296" w:rsidRDefault="003E61F4" w:rsidP="003E61F4">
      <w:pPr>
        <w:spacing w:after="0"/>
        <w:jc w:val="both"/>
        <w:rPr>
          <w:rFonts w:cstheme="minorHAnsi"/>
          <w:sz w:val="20"/>
          <w:szCs w:val="20"/>
        </w:rPr>
      </w:pPr>
      <w:r w:rsidRPr="003E61F4">
        <w:rPr>
          <w:rFonts w:cstheme="minorHAnsi"/>
          <w:sz w:val="20"/>
          <w:szCs w:val="20"/>
        </w:rPr>
        <w:t>Na całość systemu składa się 5 wzajemnie ze sobą współdziałających i wymieniających informację modułów:</w:t>
      </w:r>
    </w:p>
    <w:p w:rsidR="003E61F4" w:rsidRPr="003E61F4" w:rsidRDefault="003E61F4" w:rsidP="003E61F4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FA6A57">
        <w:rPr>
          <w:rFonts w:cstheme="minorHAnsi"/>
          <w:b/>
          <w:color w:val="548DD4" w:themeColor="text2" w:themeTint="99"/>
          <w:sz w:val="20"/>
          <w:szCs w:val="20"/>
        </w:rPr>
        <w:t>Moduł oceny wiarygodności płatniczej kontrahenta-</w:t>
      </w:r>
      <w:r w:rsidRPr="00FA6A57">
        <w:rPr>
          <w:rFonts w:cstheme="minorHAnsi"/>
          <w:color w:val="548DD4" w:themeColor="text2" w:themeTint="99"/>
          <w:sz w:val="20"/>
          <w:szCs w:val="20"/>
        </w:rPr>
        <w:t xml:space="preserve"> </w:t>
      </w:r>
      <w:r w:rsidRPr="003E61F4">
        <w:rPr>
          <w:rFonts w:cstheme="minorHAnsi"/>
          <w:sz w:val="20"/>
          <w:szCs w:val="20"/>
        </w:rPr>
        <w:t xml:space="preserve">Podstawowym problemem w dzisiejszym otoczeniu biznesowym jest konieczność podejmowania współpracy z uwzględnieniem odpowiedniej korelacji planowanego zysku memoriałowego z realnym ryzykiem nie uzyskania płatności pieniężnej. Kluczowym w tym zakresie staje się konieczność precyzyjnej oceny wiarygodności płatniczej kontrahenta, czyli wyznaczenie współczynnika π, tj. współczynnika prawdopodobieństwa, że klient nie uiści zapłaty. Najczęściej spotykanym rozwiązaniem w tym zakresie są metody </w:t>
      </w:r>
      <w:proofErr w:type="spellStart"/>
      <w:r w:rsidRPr="003E61F4">
        <w:rPr>
          <w:rFonts w:cstheme="minorHAnsi"/>
          <w:sz w:val="20"/>
          <w:szCs w:val="20"/>
        </w:rPr>
        <w:t>scoringowe</w:t>
      </w:r>
      <w:proofErr w:type="spellEnd"/>
      <w:r w:rsidRPr="003E61F4">
        <w:rPr>
          <w:rFonts w:cstheme="minorHAnsi"/>
          <w:sz w:val="20"/>
          <w:szCs w:val="20"/>
        </w:rPr>
        <w:t xml:space="preserve">, czyli dokonywanie własnej oceny kontrahenta na podstawie jego wyników finansowych i sytuacji majątkowej. O ile systemy </w:t>
      </w:r>
      <w:proofErr w:type="spellStart"/>
      <w:r w:rsidRPr="003E61F4">
        <w:rPr>
          <w:rFonts w:cstheme="minorHAnsi"/>
          <w:sz w:val="20"/>
          <w:szCs w:val="20"/>
        </w:rPr>
        <w:t>scoringowe</w:t>
      </w:r>
      <w:proofErr w:type="spellEnd"/>
      <w:r w:rsidRPr="003E61F4">
        <w:rPr>
          <w:rFonts w:cstheme="minorHAnsi"/>
          <w:sz w:val="20"/>
          <w:szCs w:val="20"/>
        </w:rPr>
        <w:t xml:space="preserve"> doskonale sprawdzają się w instytucjach finansowych, które mogą żądać od kontrahentów udostępnienia ich informacji finansowych, to przedsiębiorstwach często dostęp ten jest wysoce utrudniony bądź niemożliwy.</w:t>
      </w:r>
      <w:r>
        <w:rPr>
          <w:rFonts w:cstheme="minorHAnsi"/>
          <w:sz w:val="20"/>
          <w:szCs w:val="20"/>
        </w:rPr>
        <w:t xml:space="preserve"> </w:t>
      </w:r>
      <w:r w:rsidRPr="003E61F4">
        <w:rPr>
          <w:rFonts w:cstheme="minorHAnsi"/>
          <w:sz w:val="20"/>
          <w:szCs w:val="20"/>
        </w:rPr>
        <w:t>Stąd też przedsiębiorstwa wykorzystują do tego celu różnego rodzaju bazy dłużników jak np. KRD, lub też wspomagają się raportami z wywiadowni gospodarczych. Należy jednak zwrócić uwagę, że nie wszystkie długi muszą być uwidocznione w rejestrach dłużników, zaś raporty wywiadowni rzadko oparte są o najbardziej aktualne dane. W efekcie takich działań, ocena wiarygodności płatniczej kontrahentów często zderza się z problemem braku niezbędnych danych, co powoduje niemożność standaryzacji procesu oceny, a w szczególnych przypadkach, nawet czyni ją wręcz niemożliwą. Rozwijany przez spółkę AVI</w:t>
      </w:r>
      <w:r w:rsidR="006C3A58">
        <w:rPr>
          <w:rFonts w:cstheme="minorHAnsi"/>
          <w:sz w:val="20"/>
          <w:szCs w:val="20"/>
        </w:rPr>
        <w:t>LITY system niweluje wszystkie te</w:t>
      </w:r>
      <w:r w:rsidRPr="003E61F4">
        <w:rPr>
          <w:rFonts w:cstheme="minorHAnsi"/>
          <w:sz w:val="20"/>
          <w:szCs w:val="20"/>
        </w:rPr>
        <w:t xml:space="preserve"> problemy i oparty jest na algorytmach samouczących się, co oznacza, że nie ma konieczności wprowadzenia pełnego zestawu danych na temat kontrahenta, a wystarczające jest wprowadzenia tylko tych danych, którymi firma dysponuje. W skrajnym przypadku, wystarczy jedynie nazwa firmy i jej numer NIP. Zatem system, niezależnie od ilości wprowadzonych danych zawsze będzie w stanie wyznaczyć poziom wiarygodności płatniczej kontrahenta, przy czym oczywiście im więcej danych zostanie wprowadzone tym możliwy będzie do osiągnięcia wyższy </w:t>
      </w:r>
      <w:proofErr w:type="gramStart"/>
      <w:r w:rsidRPr="003E61F4">
        <w:rPr>
          <w:rFonts w:cstheme="minorHAnsi"/>
          <w:sz w:val="20"/>
          <w:szCs w:val="20"/>
        </w:rPr>
        <w:t>poziom jakości</w:t>
      </w:r>
      <w:proofErr w:type="gramEnd"/>
      <w:r w:rsidRPr="003E61F4">
        <w:rPr>
          <w:rFonts w:cstheme="minorHAnsi"/>
          <w:sz w:val="20"/>
          <w:szCs w:val="20"/>
        </w:rPr>
        <w:t xml:space="preserve"> tej oceny. Korzyścią takiego rozwiązania jest pełna standaryzacja procesu, który ZAWSZE zakończony będzie podanym w procentach ryzykiem braku otrzymania zapłaty od danego kontrahenta oraz zakwalifikowaniem danego kontrahenta do segmentu kontrahentów o danym profilu ryzyka.</w:t>
      </w:r>
    </w:p>
    <w:p w:rsidR="00FA6A57" w:rsidRPr="00FA6A57" w:rsidRDefault="003E61F4" w:rsidP="00FA6A57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FA6A57">
        <w:rPr>
          <w:rFonts w:cstheme="minorHAnsi"/>
          <w:b/>
          <w:color w:val="548DD4" w:themeColor="text2" w:themeTint="99"/>
          <w:sz w:val="20"/>
          <w:szCs w:val="20"/>
        </w:rPr>
        <w:t>Moduł oceny finansowej planowanego kontaktu w relacji zysk/ryzyko</w:t>
      </w:r>
      <w:r w:rsidR="00FA6A57" w:rsidRPr="00FA6A57">
        <w:rPr>
          <w:rFonts w:cstheme="minorHAnsi"/>
          <w:sz w:val="20"/>
          <w:szCs w:val="20"/>
        </w:rPr>
        <w:t xml:space="preserve">- Wyznaczone w module 1 prawdopodobieństwo braku zapłaty, nie może być jednak wyłączną podstawą decyzji, bowiem zgodnie z podstawowymi zasadami finansowymi, dopuszczalne jest podejmowanie działań biznesowych o podwyższonym poziomie ryzyka, pod warunkiem, że istnieje szansa na wynagrodzenie tego ryzyka osiągnięciem ponadstandardowego poziomu zysków. Stąd też moduł oceny finansowej kontraktu, oprócz wyznaczonego w module 1 parametru π, bierze również pod uwagę </w:t>
      </w:r>
      <w:r w:rsidR="006C3A58">
        <w:rPr>
          <w:rFonts w:cstheme="minorHAnsi"/>
          <w:sz w:val="20"/>
          <w:szCs w:val="20"/>
        </w:rPr>
        <w:t>wszys</w:t>
      </w:r>
      <w:r w:rsidR="00FA6A57" w:rsidRPr="00FA6A57">
        <w:rPr>
          <w:rFonts w:cstheme="minorHAnsi"/>
          <w:sz w:val="20"/>
          <w:szCs w:val="20"/>
        </w:rPr>
        <w:t xml:space="preserve">tkie parametry planowanego kontraktu jak przychody, koszty i zysk. Unikalne algorytmy tego modułu, bazując na wszystkich powyższych danych wyznaczają współczynnik </w:t>
      </w:r>
      <w:r w:rsidR="00FA6A57" w:rsidRPr="00FA6A57">
        <w:rPr>
          <w:rFonts w:cstheme="minorHAnsi"/>
          <w:sz w:val="20"/>
          <w:szCs w:val="20"/>
        </w:rPr>
        <w:lastRenderedPageBreak/>
        <w:t>NPV (wartość bieżącą strumieni pieniężnych generowanych przez kontrakt przy danym poziomie ryzyka klienta). Algorytmy tego modułu bazują na traktowaniu należności</w:t>
      </w:r>
      <w:r w:rsidR="006C3A58">
        <w:rPr>
          <w:rFonts w:cstheme="minorHAnsi"/>
          <w:sz w:val="20"/>
          <w:szCs w:val="20"/>
        </w:rPr>
        <w:t>,</w:t>
      </w:r>
      <w:r w:rsidR="00FA6A57" w:rsidRPr="00FA6A57">
        <w:rPr>
          <w:rFonts w:cstheme="minorHAnsi"/>
          <w:sz w:val="20"/>
          <w:szCs w:val="20"/>
        </w:rPr>
        <w:t xml:space="preserve"> jako inwestycji w klienta i wspomagają decyzję odnośnie zawarcia kontraktu, jeżeli ta inwestycja jest w stanie zapewnić oczekiwany poziom zwrotu.</w:t>
      </w:r>
    </w:p>
    <w:p w:rsidR="00FA6A57" w:rsidRPr="00FA6A57" w:rsidRDefault="003E61F4" w:rsidP="00FA6A57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FA6A57">
        <w:rPr>
          <w:rFonts w:cstheme="minorHAnsi"/>
          <w:b/>
          <w:color w:val="548DD4" w:themeColor="text2" w:themeTint="99"/>
          <w:sz w:val="20"/>
          <w:szCs w:val="20"/>
        </w:rPr>
        <w:t>Moduł polityki kredytowej</w:t>
      </w:r>
      <w:r w:rsidR="00FA6A57" w:rsidRPr="00FA6A57">
        <w:rPr>
          <w:rFonts w:cstheme="minorHAnsi"/>
          <w:b/>
          <w:color w:val="548DD4" w:themeColor="text2" w:themeTint="99"/>
          <w:sz w:val="20"/>
          <w:szCs w:val="20"/>
        </w:rPr>
        <w:t>-</w:t>
      </w:r>
      <w:r w:rsidR="00FA6A57" w:rsidRPr="00FA6A57">
        <w:rPr>
          <w:rFonts w:cstheme="minorHAnsi"/>
          <w:color w:val="548DD4" w:themeColor="text2" w:themeTint="99"/>
          <w:sz w:val="20"/>
          <w:szCs w:val="20"/>
        </w:rPr>
        <w:t xml:space="preserve"> </w:t>
      </w:r>
      <w:r w:rsidR="00FA6A57" w:rsidRPr="00FA6A57">
        <w:rPr>
          <w:rFonts w:cstheme="minorHAnsi"/>
          <w:sz w:val="20"/>
          <w:szCs w:val="20"/>
        </w:rPr>
        <w:t xml:space="preserve">Na podstawie danych wyznaczonych przez dwa poprzednie moduły, moduł ten pozwala określić warunki brzegowe dla warunków płatności w planowanym kontrakcie, tj. wyznaczyć maksymalny dopuszczany termin płatności, jaki kontrahentowi można zaoferować oraz wyznaczyć limit kredytowy, czyli wyrażony pieniężni maksymalny pułap ryzyka </w:t>
      </w:r>
      <w:proofErr w:type="gramStart"/>
      <w:r w:rsidR="00FA6A57" w:rsidRPr="00FA6A57">
        <w:rPr>
          <w:rFonts w:cstheme="minorHAnsi"/>
          <w:sz w:val="20"/>
          <w:szCs w:val="20"/>
        </w:rPr>
        <w:t>indykacyjnego jaki</w:t>
      </w:r>
      <w:proofErr w:type="gramEnd"/>
      <w:r w:rsidR="00FA6A57" w:rsidRPr="00FA6A57">
        <w:rPr>
          <w:rFonts w:cstheme="minorHAnsi"/>
          <w:sz w:val="20"/>
          <w:szCs w:val="20"/>
        </w:rPr>
        <w:t xml:space="preserve"> może być zaakceptowany. Moduł ten oczywiście bierze pod uwagę możliwości ustanawiania zabezpieczeń płatności, oferując konkretne zabezpieczenia lub ich mieszanki w zależności od profilu ryzyka kontaktu. W efekcie działania tego modułu, decydenci otrzymują informację czy kontrakt może być podpisany i jakie są jego maksymalne, finansowe warunki brzegowe.</w:t>
      </w:r>
    </w:p>
    <w:p w:rsidR="00FA6A57" w:rsidRPr="00FA6A57" w:rsidRDefault="003E61F4" w:rsidP="00FA6A57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FA6A57">
        <w:rPr>
          <w:rFonts w:cstheme="minorHAnsi"/>
          <w:b/>
          <w:color w:val="548DD4" w:themeColor="text2" w:themeTint="99"/>
          <w:sz w:val="20"/>
          <w:szCs w:val="20"/>
        </w:rPr>
        <w:t>Moduł monitorowania należności</w:t>
      </w:r>
      <w:r w:rsidR="00FA6A57" w:rsidRPr="00FA6A57">
        <w:rPr>
          <w:rFonts w:cstheme="minorHAnsi"/>
          <w:sz w:val="20"/>
          <w:szCs w:val="20"/>
        </w:rPr>
        <w:t>-</w:t>
      </w:r>
      <w:r w:rsidR="00FA6A57">
        <w:rPr>
          <w:rFonts w:cstheme="minorHAnsi"/>
          <w:sz w:val="20"/>
          <w:szCs w:val="20"/>
        </w:rPr>
        <w:t xml:space="preserve"> </w:t>
      </w:r>
      <w:r w:rsidR="00FA6A57" w:rsidRPr="00FA6A57">
        <w:rPr>
          <w:rFonts w:cstheme="minorHAnsi"/>
          <w:sz w:val="20"/>
          <w:szCs w:val="20"/>
        </w:rPr>
        <w:t xml:space="preserve">W przypadku podjęcia decyzji na podstawie wyników poprzednich modułów i zawarcia kontraktu z kontrahentem, moduł ten służy do bieżącego monitorowania ryzyka windykacyjnego, tj. czy mieści się ono w ramach przyznanego kredytu kupieckiego, a jeżeli następują opóźnienia płatnicze to na bieżąco system sprawdza ich faktyczne nasilenie i mierzy narastające z tego tytułu ryzyko, cały czas </w:t>
      </w:r>
      <w:proofErr w:type="gramStart"/>
      <w:r w:rsidR="00FA6A57" w:rsidRPr="00FA6A57">
        <w:rPr>
          <w:rFonts w:cstheme="minorHAnsi"/>
          <w:sz w:val="20"/>
          <w:szCs w:val="20"/>
        </w:rPr>
        <w:t>pilnując aby</w:t>
      </w:r>
      <w:proofErr w:type="gramEnd"/>
      <w:r w:rsidR="00FA6A57" w:rsidRPr="00FA6A57">
        <w:rPr>
          <w:rFonts w:cstheme="minorHAnsi"/>
          <w:sz w:val="20"/>
          <w:szCs w:val="20"/>
        </w:rPr>
        <w:t xml:space="preserve"> pierwotne NPV kontraktu miało realną szansę się zmaterializować. System też wyraźnie wskazuje momenty, w których należy zamknąć limit kredytowy i zaprzestać realizacji prac lub dostaw do klienta. W przypadku zagrożenia współczynnika NPV, a następnie zagrożenia rentowności kontraktu, system zwraca alerty wyprzedzające, które z drugiej strony konstytuują ramy dla procesu windykacji, za który odpowiedzialny jest moduł 5.</w:t>
      </w:r>
    </w:p>
    <w:p w:rsidR="00FA6A57" w:rsidRPr="00FA6A57" w:rsidRDefault="003E61F4" w:rsidP="00FA6A57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FA6A57">
        <w:rPr>
          <w:rFonts w:cstheme="minorHAnsi"/>
          <w:b/>
          <w:color w:val="548DD4" w:themeColor="text2" w:themeTint="99"/>
          <w:sz w:val="20"/>
          <w:szCs w:val="20"/>
        </w:rPr>
        <w:t>Moduł windykacji</w:t>
      </w:r>
      <w:r w:rsidR="00FA6A57" w:rsidRPr="00FA6A57">
        <w:rPr>
          <w:rFonts w:cstheme="minorHAnsi"/>
          <w:sz w:val="20"/>
          <w:szCs w:val="20"/>
        </w:rPr>
        <w:t>-</w:t>
      </w:r>
      <w:r w:rsidR="00FA6A57" w:rsidRPr="00FA6A57">
        <w:rPr>
          <w:rFonts w:asciiTheme="minorBidi" w:hAnsiTheme="minorBidi"/>
          <w:sz w:val="24"/>
          <w:szCs w:val="24"/>
        </w:rPr>
        <w:t xml:space="preserve"> </w:t>
      </w:r>
      <w:r w:rsidR="00FA6A57" w:rsidRPr="00FA6A57">
        <w:rPr>
          <w:rFonts w:cstheme="minorHAnsi"/>
          <w:sz w:val="20"/>
          <w:szCs w:val="20"/>
        </w:rPr>
        <w:t xml:space="preserve">Na tym etapie działania systemu, dotychczasowy klient, który okazał się być nierzetelnym płatnikiem zostaje zaklasyfikowany do bazy dłużników i za pomocą algorytmów oceniających odpowiednio przypisany do zgodnego z profilem ryzyka segmentu dłużników. Dla każdego z dłużników system sugeruje zarys procesu windykacyjnego, </w:t>
      </w:r>
      <w:proofErr w:type="gramStart"/>
      <w:r w:rsidR="00FA6A57" w:rsidRPr="00FA6A57">
        <w:rPr>
          <w:rFonts w:cstheme="minorHAnsi"/>
          <w:sz w:val="20"/>
          <w:szCs w:val="20"/>
        </w:rPr>
        <w:t>zarówno co</w:t>
      </w:r>
      <w:proofErr w:type="gramEnd"/>
      <w:r w:rsidR="00FA6A57" w:rsidRPr="00FA6A57">
        <w:rPr>
          <w:rFonts w:cstheme="minorHAnsi"/>
          <w:sz w:val="20"/>
          <w:szCs w:val="20"/>
        </w:rPr>
        <w:t xml:space="preserve"> do formy windykacji jak też jej harmonogramu. Kolejne etapy windykacji są monitorowane systemowo, co z jednej strony pozwala na ścisły nadzór nad skutecznym przebiegiem procesu, z drugiej zaś zapewnia kompletną dokumentację procesu windykacyjnego, co poprzez zaimplementowany w systemie algorytm samouczący, pozwala na optymalizację działań windykacyjnych pod kątem maksymalizacji efektów tych działań i ich sekwencji.</w:t>
      </w:r>
    </w:p>
    <w:p w:rsidR="003E61F4" w:rsidRPr="00FA6A57" w:rsidRDefault="003E61F4" w:rsidP="00FA6A57">
      <w:pPr>
        <w:spacing w:after="0"/>
        <w:ind w:left="360"/>
        <w:jc w:val="both"/>
        <w:rPr>
          <w:rFonts w:cstheme="minorHAnsi"/>
          <w:sz w:val="20"/>
          <w:szCs w:val="20"/>
        </w:rPr>
      </w:pPr>
    </w:p>
    <w:p w:rsidR="003E61F4" w:rsidRDefault="003E61F4" w:rsidP="003E61F4">
      <w:pPr>
        <w:spacing w:after="0"/>
        <w:jc w:val="both"/>
        <w:rPr>
          <w:rFonts w:cstheme="minorHAnsi"/>
          <w:sz w:val="20"/>
          <w:szCs w:val="20"/>
        </w:rPr>
      </w:pPr>
      <w:r w:rsidRPr="003E61F4">
        <w:rPr>
          <w:rFonts w:cstheme="minorHAnsi"/>
          <w:sz w:val="20"/>
          <w:szCs w:val="20"/>
        </w:rPr>
        <w:t>Dzięki takiej, kompleksowej organizacji systemu zapewnia on maksymalną efektywność w procesie zarządzania wierzytelnościami, a dodatkowo jest w stanie ws</w:t>
      </w:r>
      <w:r w:rsidR="00C9227A">
        <w:rPr>
          <w:rFonts w:cstheme="minorHAnsi"/>
          <w:sz w:val="20"/>
          <w:szCs w:val="20"/>
        </w:rPr>
        <w:t xml:space="preserve">półpracować i wymieniać dane z </w:t>
      </w:r>
      <w:r w:rsidRPr="003E61F4">
        <w:rPr>
          <w:rFonts w:cstheme="minorHAnsi"/>
          <w:sz w:val="20"/>
          <w:szCs w:val="20"/>
        </w:rPr>
        <w:t xml:space="preserve">systemami do zarządzania relacjami z klientem, zarządzania projektami i procesami, </w:t>
      </w:r>
      <w:proofErr w:type="spellStart"/>
      <w:r w:rsidRPr="003E61F4">
        <w:rPr>
          <w:rFonts w:cstheme="minorHAnsi"/>
          <w:sz w:val="20"/>
          <w:szCs w:val="20"/>
        </w:rPr>
        <w:t>time</w:t>
      </w:r>
      <w:proofErr w:type="spellEnd"/>
      <w:r w:rsidRPr="003E61F4">
        <w:rPr>
          <w:rFonts w:cstheme="minorHAnsi"/>
          <w:sz w:val="20"/>
          <w:szCs w:val="20"/>
        </w:rPr>
        <w:t xml:space="preserve"> </w:t>
      </w:r>
      <w:proofErr w:type="spellStart"/>
      <w:r w:rsidRPr="003E61F4">
        <w:rPr>
          <w:rFonts w:cstheme="minorHAnsi"/>
          <w:sz w:val="20"/>
          <w:szCs w:val="20"/>
        </w:rPr>
        <w:t>shifting’u</w:t>
      </w:r>
      <w:proofErr w:type="spellEnd"/>
      <w:r w:rsidRPr="003E61F4">
        <w:rPr>
          <w:rFonts w:cstheme="minorHAnsi"/>
          <w:sz w:val="20"/>
          <w:szCs w:val="20"/>
        </w:rPr>
        <w:t xml:space="preserve">, programami finansowo – księgowymi oraz controllingowymi. </w:t>
      </w:r>
    </w:p>
    <w:p w:rsidR="003E61F4" w:rsidRPr="003E61F4" w:rsidRDefault="003E61F4" w:rsidP="003E61F4">
      <w:pPr>
        <w:spacing w:after="0"/>
        <w:jc w:val="both"/>
        <w:rPr>
          <w:rFonts w:cstheme="minorHAnsi"/>
          <w:sz w:val="20"/>
          <w:szCs w:val="20"/>
        </w:rPr>
      </w:pPr>
    </w:p>
    <w:p w:rsidR="003E61F4" w:rsidRPr="003E61F4" w:rsidRDefault="003E61F4" w:rsidP="003E61F4">
      <w:pPr>
        <w:spacing w:after="0"/>
        <w:jc w:val="both"/>
        <w:rPr>
          <w:rFonts w:cstheme="minorHAnsi"/>
          <w:sz w:val="20"/>
          <w:szCs w:val="20"/>
        </w:rPr>
      </w:pPr>
    </w:p>
    <w:p w:rsidR="00FF4296" w:rsidRPr="00FF4296" w:rsidRDefault="00FF4296" w:rsidP="003E61F4">
      <w:pPr>
        <w:spacing w:before="0" w:after="0" w:line="276" w:lineRule="auto"/>
        <w:rPr>
          <w:rFonts w:ascii="Calibri" w:eastAsia="Calibri" w:hAnsi="Calibri" w:cs="Times New Roman"/>
          <w:bCs/>
          <w:sz w:val="20"/>
        </w:rPr>
      </w:pPr>
    </w:p>
    <w:p w:rsidR="00FF4296" w:rsidRPr="00FF4296" w:rsidRDefault="00FF4296" w:rsidP="00FF4296">
      <w:pPr>
        <w:spacing w:before="0" w:line="276" w:lineRule="auto"/>
        <w:jc w:val="both"/>
        <w:rPr>
          <w:rFonts w:ascii="Calibri" w:eastAsia="Calibri" w:hAnsi="Calibri" w:cs="Times New Roman"/>
          <w:sz w:val="4"/>
          <w:szCs w:val="4"/>
        </w:rPr>
      </w:pPr>
    </w:p>
    <w:p w:rsidR="00FF4296" w:rsidRPr="00FF4296" w:rsidRDefault="00FF4296" w:rsidP="00FF4296">
      <w:pPr>
        <w:spacing w:before="0" w:line="276" w:lineRule="auto"/>
        <w:rPr>
          <w:rFonts w:ascii="Calibri" w:eastAsia="Calibri" w:hAnsi="Calibri" w:cs="Times New Roman"/>
          <w:color w:val="7FBA00"/>
        </w:rPr>
      </w:pPr>
    </w:p>
    <w:p w:rsidR="00FF4296" w:rsidRPr="00FF4296" w:rsidRDefault="00FF4296" w:rsidP="00FF4296">
      <w:pPr>
        <w:spacing w:before="0" w:line="276" w:lineRule="auto"/>
        <w:rPr>
          <w:rFonts w:ascii="Calibri" w:eastAsia="Calibri" w:hAnsi="Calibri" w:cs="Times New Roman"/>
        </w:rPr>
      </w:pPr>
    </w:p>
    <w:p w:rsidR="00480A90" w:rsidRPr="00FF4296" w:rsidRDefault="00480A90" w:rsidP="00FF4296">
      <w:pPr>
        <w:spacing w:before="0" w:line="276" w:lineRule="auto"/>
        <w:rPr>
          <w:rFonts w:ascii="Calibri" w:eastAsia="Times New Roman" w:hAnsi="Calibri" w:cs="Times New Roman"/>
          <w:b/>
          <w:bCs/>
          <w:color w:val="7FBA00"/>
        </w:rPr>
      </w:pPr>
    </w:p>
    <w:sectPr w:rsidR="00480A90" w:rsidRPr="00FF4296" w:rsidSect="00FF4296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955" w:right="1072" w:bottom="2098" w:left="1072" w:header="284" w:footer="709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32CE" w:rsidRDefault="00E532CE" w:rsidP="00882462">
      <w:pPr>
        <w:spacing w:before="0" w:after="0"/>
      </w:pPr>
      <w:r>
        <w:separator/>
      </w:r>
    </w:p>
  </w:endnote>
  <w:endnote w:type="continuationSeparator" w:id="0">
    <w:p w:rsidR="00E532CE" w:rsidRDefault="00E532CE" w:rsidP="0088246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2462" w:rsidRDefault="001E0CA4">
    <w:pPr>
      <w:pStyle w:val="Stopka"/>
    </w:pPr>
    <w:r>
      <w:rPr>
        <w:noProof/>
        <w:lang w:eastAsia="pl-PL"/>
      </w:rPr>
      <w:drawing>
        <wp:anchor distT="0" distB="0" distL="114300" distR="114300" simplePos="0" relativeHeight="251658240" behindDoc="0" locked="0" layoutInCell="1" allowOverlap="0">
          <wp:simplePos x="0" y="0"/>
          <wp:positionH relativeFrom="page">
            <wp:posOffset>-9525</wp:posOffset>
          </wp:positionH>
          <wp:positionV relativeFrom="page">
            <wp:posOffset>9354029</wp:posOffset>
          </wp:positionV>
          <wp:extent cx="7570800" cy="1151041"/>
          <wp:effectExtent l="0" t="0" r="0" b="0"/>
          <wp:wrapTopAndBottom/>
          <wp:docPr id="36" name="Obraz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V_papier_stopka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0800" cy="115104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882462" w:rsidRDefault="0088246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32CE" w:rsidRDefault="00E532CE" w:rsidP="00882462">
      <w:pPr>
        <w:spacing w:before="0" w:after="0"/>
      </w:pPr>
      <w:r>
        <w:separator/>
      </w:r>
    </w:p>
  </w:footnote>
  <w:footnote w:type="continuationSeparator" w:id="0">
    <w:p w:rsidR="00E532CE" w:rsidRDefault="00E532CE" w:rsidP="00882462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7A73" w:rsidRDefault="00E532CE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445289" o:spid="_x0000_s2050" type="#_x0000_t75" style="position:absolute;margin-left:0;margin-top:0;width:453.45pt;height:453.45pt;z-index:-251653120;mso-position-horizontal:center;mso-position-horizontal-relative:margin;mso-position-vertical:center;mso-position-vertical-relative:margin" o:allowincell="f">
          <v:imagedata r:id="rId1" o:title="ozbpr_papier_znak_wodny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2462" w:rsidRDefault="001E0CA4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6192" behindDoc="0" locked="0" layoutInCell="1" allowOverlap="0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74400" cy="1440000"/>
          <wp:effectExtent l="0" t="0" r="0" b="0"/>
          <wp:wrapSquare wrapText="bothSides"/>
          <wp:docPr id="35" name="Obraz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V_papier_naglowek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4400" cy="14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7A73" w:rsidRDefault="00E532CE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445288" o:spid="_x0000_s2049" type="#_x0000_t75" style="position:absolute;margin-left:0;margin-top:0;width:453.45pt;height:453.45pt;z-index:-251654144;mso-position-horizontal:center;mso-position-horizontal-relative:margin;mso-position-vertical:center;mso-position-vertical-relative:margin" o:allowincell="f">
          <v:imagedata r:id="rId1" o:title="ozbpr_papier_znak_wodny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4A3BB1"/>
    <w:multiLevelType w:val="hybridMultilevel"/>
    <w:tmpl w:val="81FC3A1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D1B3EF1"/>
    <w:multiLevelType w:val="hybridMultilevel"/>
    <w:tmpl w:val="D6864B4E"/>
    <w:lvl w:ilvl="0" w:tplc="0415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6F04593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64816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A82E7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9C01B9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C5C2BE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168113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8A8E5F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D94C92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26A00831"/>
    <w:multiLevelType w:val="hybridMultilevel"/>
    <w:tmpl w:val="7F1AAFF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293E0B"/>
    <w:multiLevelType w:val="hybridMultilevel"/>
    <w:tmpl w:val="32CE82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442121"/>
    <w:multiLevelType w:val="hybridMultilevel"/>
    <w:tmpl w:val="28C207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2462"/>
    <w:rsid w:val="00053BCC"/>
    <w:rsid w:val="00062E4B"/>
    <w:rsid w:val="000A0031"/>
    <w:rsid w:val="001E0CA4"/>
    <w:rsid w:val="001E19EE"/>
    <w:rsid w:val="003D60FB"/>
    <w:rsid w:val="003E61F4"/>
    <w:rsid w:val="003F1CCE"/>
    <w:rsid w:val="00453A85"/>
    <w:rsid w:val="00480A90"/>
    <w:rsid w:val="00573F11"/>
    <w:rsid w:val="00584C59"/>
    <w:rsid w:val="005D4EB5"/>
    <w:rsid w:val="005F203F"/>
    <w:rsid w:val="00641E8C"/>
    <w:rsid w:val="00645FD5"/>
    <w:rsid w:val="006C3A58"/>
    <w:rsid w:val="006D0C5D"/>
    <w:rsid w:val="00882462"/>
    <w:rsid w:val="00956DE0"/>
    <w:rsid w:val="00A15217"/>
    <w:rsid w:val="00AA6847"/>
    <w:rsid w:val="00AB7D46"/>
    <w:rsid w:val="00AC1458"/>
    <w:rsid w:val="00AD7A73"/>
    <w:rsid w:val="00BD02CE"/>
    <w:rsid w:val="00C9227A"/>
    <w:rsid w:val="00CC7887"/>
    <w:rsid w:val="00DD484C"/>
    <w:rsid w:val="00E532CE"/>
    <w:rsid w:val="00EB1D83"/>
    <w:rsid w:val="00F323E8"/>
    <w:rsid w:val="00F7190A"/>
    <w:rsid w:val="00FA6A57"/>
    <w:rsid w:val="00FF4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77B7AE1A-3C02-4C47-B57E-9C349FDF1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SpaDroblin">
    <w:name w:val="Spa Droblin"/>
    <w:basedOn w:val="Standardowy"/>
    <w:uiPriority w:val="99"/>
    <w:rsid w:val="005D4EB5"/>
    <w:pPr>
      <w:spacing w:after="0"/>
    </w:pPr>
    <w:rPr>
      <w:rFonts w:ascii="Times New Roman" w:eastAsia="Calibri" w:hAnsi="Times New Roman" w:cs="Times New Roman"/>
      <w:sz w:val="20"/>
      <w:szCs w:val="20"/>
      <w:lang w:eastAsia="pl-PL"/>
    </w:rPr>
    <w:tblPr>
      <w:tblStyleRowBandSize w:val="2"/>
      <w:tblBorders>
        <w:top w:val="single" w:sz="4" w:space="0" w:color="D9D9D9" w:themeColor="background1" w:themeShade="D9"/>
        <w:left w:val="single" w:sz="4" w:space="0" w:color="D9D9D9" w:themeColor="background1" w:themeShade="D9"/>
        <w:bottom w:val="single" w:sz="4" w:space="0" w:color="D9D9D9" w:themeColor="background1" w:themeShade="D9"/>
        <w:right w:val="single" w:sz="4" w:space="0" w:color="D9D9D9" w:themeColor="background1" w:themeShade="D9"/>
      </w:tblBorders>
    </w:tblPr>
    <w:tcPr>
      <w:vAlign w:val="center"/>
    </w:tcPr>
  </w:style>
  <w:style w:type="table" w:styleId="redniasiatka1">
    <w:name w:val="Medium Grid 1"/>
    <w:basedOn w:val="redniasiatka1akcent1"/>
    <w:uiPriority w:val="67"/>
    <w:rsid w:val="00573F11"/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8" w:space="0" w:color="D9D9D9"/>
        <w:left w:val="single" w:sz="8" w:space="0" w:color="D9D9D9"/>
        <w:bottom w:val="single" w:sz="8" w:space="0" w:color="D9D9D9"/>
        <w:right w:val="single" w:sz="8" w:space="0" w:color="D9D9D9"/>
        <w:insideH w:val="single" w:sz="8" w:space="0" w:color="D9D9D9"/>
        <w:insideV w:val="single" w:sz="8" w:space="0" w:color="D9D9D9"/>
      </w:tblBorders>
    </w:tblPr>
    <w:tcPr>
      <w:shd w:val="clear" w:color="auto" w:fill="C0C0C0"/>
    </w:tcPr>
    <w:tblStylePr w:type="firstRow">
      <w:pPr>
        <w:jc w:val="center"/>
      </w:pPr>
      <w:rPr>
        <w:rFonts w:ascii="Times New Roman" w:hAnsi="Times New Roman"/>
        <w:b/>
        <w:bCs/>
        <w:caps w:val="0"/>
        <w:smallCaps/>
        <w:sz w:val="24"/>
      </w:rPr>
      <w:tblPr/>
      <w:tcPr>
        <w:shd w:val="clear" w:color="auto" w:fill="D9D9D9"/>
      </w:tc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 w:val="0"/>
        <w:bCs/>
        <w:i w:val="0"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2F2F2"/>
      </w:tcPr>
    </w:tblStylePr>
  </w:style>
  <w:style w:type="table" w:styleId="redniasiatka1akcent1">
    <w:name w:val="Medium Grid 1 Accent 1"/>
    <w:basedOn w:val="Standardowy"/>
    <w:uiPriority w:val="67"/>
    <w:rsid w:val="00573F11"/>
    <w:pPr>
      <w:spacing w:after="0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paragraph" w:styleId="Nagwek">
    <w:name w:val="header"/>
    <w:basedOn w:val="Normalny"/>
    <w:link w:val="NagwekZnak"/>
    <w:uiPriority w:val="99"/>
    <w:unhideWhenUsed/>
    <w:rsid w:val="00882462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882462"/>
  </w:style>
  <w:style w:type="paragraph" w:styleId="Stopka">
    <w:name w:val="footer"/>
    <w:basedOn w:val="Normalny"/>
    <w:link w:val="StopkaZnak"/>
    <w:uiPriority w:val="99"/>
    <w:unhideWhenUsed/>
    <w:rsid w:val="00882462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882462"/>
  </w:style>
  <w:style w:type="paragraph" w:styleId="Tekstdymka">
    <w:name w:val="Balloon Text"/>
    <w:basedOn w:val="Normalny"/>
    <w:link w:val="TekstdymkaZnak"/>
    <w:uiPriority w:val="99"/>
    <w:semiHidden/>
    <w:unhideWhenUsed/>
    <w:rsid w:val="00882462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82462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E61F4"/>
    <w:pPr>
      <w:spacing w:before="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1A5840-F070-4222-BA75-CDD0904EB3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977</Words>
  <Characters>5864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angelika</dc:creator>
  <cp:lastModifiedBy>Natalia Górska</cp:lastModifiedBy>
  <cp:revision>25</cp:revision>
  <dcterms:created xsi:type="dcterms:W3CDTF">2016-03-31T17:17:00Z</dcterms:created>
  <dcterms:modified xsi:type="dcterms:W3CDTF">2017-06-26T06:25:00Z</dcterms:modified>
</cp:coreProperties>
</file>